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8C5" w:rsidRPr="00A95CCA" w:rsidRDefault="00971789" w:rsidP="00BC78C5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B.94</w:t>
      </w:r>
      <w:bookmarkStart w:id="0" w:name="_GoBack"/>
      <w:bookmarkEnd w:id="0"/>
      <w:r w:rsidR="00BC78C5" w:rsidRPr="00A95CCA">
        <w:rPr>
          <w:rFonts w:ascii="Times New Roman" w:hAnsi="Times New Roman"/>
          <w:sz w:val="22"/>
        </w:rPr>
        <w:t>.</w:t>
      </w:r>
    </w:p>
    <w:p w:rsidR="00BC78C5" w:rsidRPr="00BC78C5" w:rsidRDefault="00BC78C5" w:rsidP="00BC78C5">
      <w:pPr>
        <w:rPr>
          <w:rFonts w:ascii="Times New Roman" w:hAnsi="Times New Roman"/>
          <w:b/>
          <w:sz w:val="22"/>
          <w:szCs w:val="22"/>
        </w:rPr>
      </w:pPr>
    </w:p>
    <w:p w:rsidR="00510FC0" w:rsidRPr="006A3127" w:rsidRDefault="00B37008" w:rsidP="001064DC">
      <w:pPr>
        <w:spacing w:after="240"/>
        <w:rPr>
          <w:rFonts w:ascii="Times New Roman" w:hAnsi="Times New Roman"/>
          <w:b/>
          <w:sz w:val="28"/>
        </w:rPr>
      </w:pPr>
      <w:r w:rsidRPr="00B37008">
        <w:rPr>
          <w:rFonts w:ascii="Times New Roman" w:hAnsi="Times New Roman"/>
          <w:b/>
          <w:sz w:val="28"/>
        </w:rPr>
        <w:t>ZAPOBIEGANIE KRWAWIENIOM U DZIECI Z HEMOFILIĄ A I B  (ICD-10  D 66, D 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39"/>
        <w:gridCol w:w="5223"/>
        <w:gridCol w:w="5128"/>
      </w:tblGrid>
      <w:tr w:rsidR="007E29FA" w:rsidRPr="007E29FA" w:rsidTr="00D4064B">
        <w:trPr>
          <w:trHeight w:val="409"/>
        </w:trPr>
        <w:tc>
          <w:tcPr>
            <w:tcW w:w="5000" w:type="pct"/>
            <w:gridSpan w:val="3"/>
            <w:vAlign w:val="center"/>
          </w:tcPr>
          <w:p w:rsidR="00D4064B" w:rsidRPr="007E29FA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9FA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7E29FA" w:rsidRPr="007E29FA" w:rsidTr="00A33071">
        <w:trPr>
          <w:trHeight w:val="671"/>
        </w:trPr>
        <w:tc>
          <w:tcPr>
            <w:tcW w:w="1637" w:type="pct"/>
            <w:vAlign w:val="center"/>
          </w:tcPr>
          <w:p w:rsidR="00D4064B" w:rsidRPr="007E29FA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9FA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697" w:type="pct"/>
            <w:vAlign w:val="center"/>
          </w:tcPr>
          <w:p w:rsidR="00D4064B" w:rsidRPr="007E29FA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9FA">
              <w:rPr>
                <w:rFonts w:ascii="Times New Roman" w:hAnsi="Times New Roman"/>
                <w:b/>
              </w:rPr>
              <w:t xml:space="preserve">SCHEMAT DAWKOWANIA LEKÓW </w:t>
            </w:r>
            <w:r w:rsidRPr="007E29FA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666" w:type="pct"/>
            <w:tcBorders>
              <w:right w:val="single" w:sz="4" w:space="0" w:color="auto"/>
            </w:tcBorders>
            <w:vAlign w:val="center"/>
          </w:tcPr>
          <w:p w:rsidR="00D4064B" w:rsidRPr="007E29FA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9FA">
              <w:rPr>
                <w:rFonts w:ascii="Times New Roman" w:hAnsi="Times New Roman"/>
                <w:b/>
              </w:rPr>
              <w:t>BADANIA DIAGNOSTYCZNE WYKONYWANE</w:t>
            </w:r>
            <w:r w:rsidR="00265950" w:rsidRPr="007E29FA">
              <w:rPr>
                <w:rFonts w:ascii="Times New Roman" w:hAnsi="Times New Roman"/>
                <w:b/>
              </w:rPr>
              <w:t xml:space="preserve">  </w:t>
            </w:r>
            <w:r w:rsidRPr="007E29FA">
              <w:rPr>
                <w:rFonts w:ascii="Times New Roman" w:hAnsi="Times New Roman"/>
                <w:b/>
              </w:rPr>
              <w:t>W RAMACH PROGRAMU</w:t>
            </w:r>
          </w:p>
        </w:tc>
      </w:tr>
      <w:tr w:rsidR="007E29FA" w:rsidRPr="007E29FA" w:rsidTr="00A33071">
        <w:tc>
          <w:tcPr>
            <w:tcW w:w="1637" w:type="pct"/>
          </w:tcPr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 do terapii pierwotnej i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wtórnej profilaktyki krwawień oraz leczenia hemofilii powikłanej nowo powstałym krążącym antykoagulantem dokonuje Zespół 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 ds. kwalifikacji i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 leczenia w programie zapobiegania krwawieniom u dzieci z hemofilią A i B powołany przez Prezesa Narodowego Funduszu Zdrowia.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 Moduł pierwotnej profilaktyki krwawień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1. 1.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Pierwotna profilaktyka krwawień u dzieci od 1 dnia życia z zachowaniem ciągłości leczenia do ukończenia 18 roku życia, z ciężką po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 hemofilii A, 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 aktywności czynników krzepnięcia VIII równym lub poniżej 1% poziomu normalnego.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pierwotnej profilaktyki krwawień – koncentraty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</w:t>
            </w:r>
            <w:r w:rsidR="007352C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czynnika VIII oraz koncentraty rekombinowanego czynnika krzepnięcia VIII pierwszej generacji.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Pierwotna profilaktyka krwawień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nowozdiagnozowanych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 z ciężką postacią hemofilii A, wcześniej nie leczonych czynnikami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osoczopochodnymi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(ludzkimi).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pierwotnej profilaktyki krwawień – 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325E8C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oncentrat 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rekombinowanego 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czynnika</w:t>
            </w:r>
            <w:r w:rsidR="00325E8C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krzepnięcia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VIII</w:t>
            </w:r>
            <w:r w:rsidR="00325E8C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przedłużonym działaniu.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Zapewnienie koncentratów czynników krzepnięcia</w:t>
            </w:r>
            <w:r w:rsidR="00A97D44"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dla dzieci, u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 konieczne jest założenie centralnego dostępu żylnego: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1.1. – cz</w:t>
            </w:r>
            <w:r w:rsidR="007352C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ynniki </w:t>
            </w:r>
            <w:proofErr w:type="spellStart"/>
            <w:r w:rsidR="007352C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="007352C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 pierwszej generacji</w:t>
            </w:r>
            <w:r w:rsidR="002E5708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grupy określonej w ust. 1.2. – 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rekombinowany</w:t>
            </w:r>
            <w:r w:rsidR="00F66A9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przedłużonym działaniu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 Moduł wtórnej profilaktyki krwawień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Wtórna profilakt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yka krwawień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prowadzona u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od 1 dnia życia do ukończe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18 roku życia, chorych na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hemofilię A, po wystąpieniu wylewów do stawów.</w:t>
            </w:r>
          </w:p>
          <w:p w:rsidR="00E138F8" w:rsidRPr="007E29FA" w:rsidRDefault="00E138F8" w:rsidP="00020897">
            <w:pPr>
              <w:pStyle w:val="Default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grupy określonej w ust. 1.1. – czynniki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</w:t>
            </w:r>
            <w:r w:rsidR="00AA1AB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odne</w:t>
            </w:r>
            <w:proofErr w:type="spellEnd"/>
            <w:r w:rsidR="00AA1AB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rekombinowanego czynnika krzepnięcia VIII pierwszej generacji;</w:t>
            </w:r>
          </w:p>
          <w:p w:rsidR="00E138F8" w:rsidRPr="007E29FA" w:rsidRDefault="00E138F8" w:rsidP="00020897">
            <w:pPr>
              <w:pStyle w:val="Default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 w ust. 1.2. – czynnik rekombinowany o p</w:t>
            </w:r>
            <w:r w:rsidR="00D32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rzedłużonym działaniu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B0635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2.2.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 koncentratów czynników krzepnięcia, dla dzieci, u których konieczne jest założe</w:t>
            </w:r>
            <w:r w:rsidR="007352C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centralnego dostępu żylnego</w:t>
            </w:r>
            <w:r w:rsidR="002B063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7352C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2B0635" w:rsidRPr="007E29FA" w:rsidRDefault="002B0635" w:rsidP="00020897">
            <w:pPr>
              <w:pStyle w:val="Default"/>
              <w:numPr>
                <w:ilvl w:val="0"/>
                <w:numId w:val="25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grupy określonej w ust. 1.1. – czynniki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 pierwszej generacji;</w:t>
            </w:r>
          </w:p>
          <w:p w:rsidR="002B0635" w:rsidRPr="007E29FA" w:rsidRDefault="002B0635" w:rsidP="00020897">
            <w:pPr>
              <w:pStyle w:val="Default"/>
              <w:numPr>
                <w:ilvl w:val="0"/>
                <w:numId w:val="25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grupy 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określonej w ust. 1.2. – czynnik rekombinowany o p</w:t>
            </w:r>
            <w:r w:rsidR="00D32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rzedłużonym działaniu</w:t>
            </w:r>
            <w:r w:rsidR="00067F1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7E29FA" w:rsidRDefault="00D4064B" w:rsidP="002B063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  <w:r w:rsidR="00BC6621"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Objęcie programem wywoływania tolerancji immunologicznej wszystkich pacjentów z hemofilią </w:t>
            </w: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powikłaną nowopowstałym krążącym antykoagulantem (inhibitorem) (powyżej 5 B.U. oraz o mianie niższym lub równym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B.U. w przypadku przetrwania powyżej 6 miesięcy od momentu wykrycia).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Finansowanie realizacji wywoływania tolerancji immunologicznej odbywa się poprzez realizację stosownych umów z podmiotami odpowiedzialnymi. Wymóg zawarcia przedmiotowych umów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zapisywany w specyfikacji przetargowej.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Kryteria włączenia do przedmiotowego modułu nowopowstałego inhibitora u dzieci do 18 roku życia: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hemofilią powikłaną nowopowstałym krążącym antykoagulantem (inhibitorem) (powyżej 5 B.U. oraz o mian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niższym lub równym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 p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 inhibitora powyżej 6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 zakwalifikowani na podstawie decyzji Zespołu Koor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 ds. kwalifikacji i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weryfikacji leczenia w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 krwawieniom u dzieci z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 A i B;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 która miała miejsce po dniu 15 stycznia 2010 r.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 Kryteria wyłączenia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inhibitora (krążącego antykoagulantu o mianie powyżej 5 B.U. oraz 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 niższym lub równym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 przypadku przetrwania inhibitora powyżej 6 miesięcy).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6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 Kryteria zakończenia udziału w programie lub module programu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 powodu których udział pacjenta - uprzednio zakwalifikowanego - w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przedmiotowym programie musi zostać zakończony):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nowo powstałego inhibitora (powyżej 5 B.U.) lu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 utrzymywanie się inhibitora w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mianie niższym lub równym 5 B.U. przez ponad 6 miesięcy;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 18 roku życia.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6. Określenie czasu leczenia w programie 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Leczenie trwa do momentu 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 18 roku życia lub do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 podjęcia przez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lekarza prowadzącego decyzji o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 świadczeniobiorcy z programu, zgodn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z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 wyłączenia.</w:t>
            </w:r>
          </w:p>
        </w:tc>
        <w:tc>
          <w:tcPr>
            <w:tcW w:w="1697" w:type="pct"/>
          </w:tcPr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 Pierwotna profilaktyka krwawień: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 roku życia – 25- 40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., 1-3 razy w tygodniu,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dzieci powyżej 2 roku życia – 25-40 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2- 3 razy w tygodniu, z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zastrzeżeniem, że podawanie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razy w tygodniu dotyczy dzieci dotychczas leczonych 2 razy w tygodniu z dobrym efektem;</w:t>
            </w:r>
          </w:p>
          <w:p w:rsidR="00067F17" w:rsidRPr="007E29FA" w:rsidRDefault="009301F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2) </w:t>
            </w:r>
            <w:r w:rsidR="00AA1AB7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 rekombinowanego czynnika krzepnięcia VIII o przedłużonym działaniu</w:t>
            </w:r>
            <w:r w:rsidR="00C842B3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067F17" w:rsidRPr="007E29FA" w:rsidRDefault="00067F17" w:rsidP="00020897">
            <w:pPr>
              <w:pStyle w:val="Default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wszystkie grupy wiekowe dzieci</w:t>
            </w:r>
            <w:r w:rsidR="00C842B3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 w:rsidR="009301F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25- 65 jednostek międzynarodowych/kg </w:t>
            </w:r>
            <w:proofErr w:type="spellStart"/>
            <w:r w:rsidR="009301F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9301F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3-5 dni.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Wtórna profilaktyka krwawień: 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 roku życia – 25- 40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., 2-3 razy w tygodniu,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 roku życia – 25-40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3 razy w tygodniu;</w:t>
            </w:r>
          </w:p>
          <w:p w:rsidR="00AA1AB7" w:rsidRPr="007E29FA" w:rsidRDefault="00AA1AB7" w:rsidP="00B20F7D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koncentrat rekombinowanego czynnika krzepnięcia VIII o przedłużonym działaniu</w:t>
            </w:r>
            <w:r w:rsidR="00B20F7D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:rsidR="00B20F7D" w:rsidRPr="007E29FA" w:rsidRDefault="009301F5" w:rsidP="00B20F7D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a) </w:t>
            </w:r>
            <w:r w:rsidR="00A97D44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wszystkie grupy wiekowe dzieci – 25- 65 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3-5 dni.</w:t>
            </w:r>
          </w:p>
          <w:p w:rsidR="009301F5" w:rsidRPr="007E29FA" w:rsidRDefault="009301F5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3. U dzieci, u których konieczne jest założenie centralnego dostępu żylnego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</w:t>
            </w:r>
            <w:r w:rsidR="00D136DE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odpowiednio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czynnika VIII</w:t>
            </w:r>
            <w:r w:rsidR="00D136DE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</w:t>
            </w:r>
            <w:r w:rsidR="00724C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rekombinowanego </w:t>
            </w:r>
            <w:r w:rsidR="00A97D44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czynnika VIII o </w:t>
            </w:r>
            <w:r w:rsidR="00AB34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 działaniu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 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 według schematu: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pierwsza doba: </w:t>
            </w:r>
            <w:r w:rsidR="00A97D44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70 jednoste</w:t>
            </w:r>
            <w:r w:rsidR="00E4646B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 międzynarodowych/kg </w:t>
            </w:r>
            <w:proofErr w:type="spellStart"/>
            <w:r w:rsidR="00E4646B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E4646B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12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godzin;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drugiej do piątej doby: </w:t>
            </w:r>
            <w:r w:rsidR="00A97D44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136DE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50 jednostek </w:t>
            </w:r>
            <w:r w:rsidR="00E4646B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międzynarodowych/ kg </w:t>
            </w:r>
            <w:proofErr w:type="spellStart"/>
            <w:r w:rsidR="00E4646B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E4646B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18-24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godzin;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szósta doba jednorazowo: </w:t>
            </w:r>
            <w:r w:rsidR="00A97D44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136DE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50 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dziesiąta doba (zdjęcie szwów) jednorazowo: </w:t>
            </w:r>
            <w:r w:rsidR="00A97D44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136DE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50 jednostek międzynarodowych/kg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03232" w:rsidRPr="007E29FA" w:rsidRDefault="00203232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 w dotychczasowej dawce, może zostać ustalone indywidualnie przez Zespół Koordynujący ds. kwalif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 i weryfikacji leczenia w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zapobiegania krwawieniom u dzieci z hemofilią A i B.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6" w:type="pct"/>
            <w:tcBorders>
              <w:right w:val="single" w:sz="4" w:space="0" w:color="auto"/>
            </w:tcBorders>
          </w:tcPr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ramach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kwal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 świadczeniobiorcy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 w programie,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podstawie decyzji lekarza lokalnego lub regionalnego centrum leczenia hemofilii, wykonuje się następujące badania: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(PT),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(TT);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aktywności czynników krzepnięcia I, VIII i IX, von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XI, XII;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antygen czynnika von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miana inhibitora czynnika VIII u dzieci uprzednio leczonych (test Bethesda w modyfikacji Nijmegen);</w:t>
            </w:r>
          </w:p>
          <w:p w:rsidR="001030E6" w:rsidRPr="007E29FA" w:rsidRDefault="001030E6" w:rsidP="001030E6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wykonanie badań wirusologicznych: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HBsAg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antyHCV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 w przypadku dodatniego wyniku – odpowiednio HBV PCR i/lub HCV PCR;</w:t>
            </w:r>
          </w:p>
          <w:p w:rsidR="00D4064B" w:rsidRPr="007E29FA" w:rsidRDefault="00D4064B" w:rsidP="001030E6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związku z realizacją modułów programu,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niż wymienione w pkt 1-</w:t>
            </w:r>
            <w:r w:rsidRPr="007E29FA" w:rsidDel="00FE4E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 badania, są wykonywane na podstawie indywidualnych decyzji Zespołu Koordynującego ds. kwalifikacji i weryfikacji leczenia w programie zapobiegania krwawieniom u dzieci z hemofilią A i B.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Regionalne centra lecze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hemofilii są zobligowane do 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 do nich dostępu.</w:t>
            </w:r>
          </w:p>
          <w:p w:rsidR="00BC6621" w:rsidRPr="007E29FA" w:rsidRDefault="00BC662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 Monitorowanie leczenia 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Ocena skuteczności leczenia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  <w:r w:rsidRPr="007E29FA">
              <w:rPr>
                <w:rFonts w:ascii="Times New Roman" w:hAnsi="Times New Roman"/>
                <w:b/>
              </w:rPr>
              <w:t>2.2.</w:t>
            </w:r>
            <w:r w:rsidRPr="007E29FA">
              <w:rPr>
                <w:rFonts w:ascii="Times New Roman" w:hAnsi="Times New Roman"/>
              </w:rPr>
              <w:t xml:space="preserve"> W ramach</w:t>
            </w:r>
            <w:r w:rsidR="00BC6621" w:rsidRPr="007E29FA">
              <w:rPr>
                <w:rFonts w:ascii="Times New Roman" w:hAnsi="Times New Roman"/>
              </w:rPr>
              <w:t xml:space="preserve"> </w:t>
            </w:r>
            <w:r w:rsidRPr="007E29FA">
              <w:rPr>
                <w:rFonts w:ascii="Times New Roman" w:hAnsi="Times New Roman"/>
              </w:rPr>
              <w:t>monitorowania leczenia obowiązkowe jest prowadzenie rejestru krwawień dla danego pacjenta oraz rejestracja danych wymaganych w programie do prowadzenia rejestru dla każdego pacjenta.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alaninowa (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raza </w:t>
            </w:r>
            <w:proofErr w:type="spellStart"/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 raz w roku;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przeciwciał anty-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obecność antygenu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 przypadku braku miana zabezpieczającego przeciwciał anty-HBS), u dodatnich przeciwciała anty-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anty 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DNA HBV;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dojścia żylnego, nie rzadziej niż raz w roku;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moczu.</w:t>
            </w:r>
          </w:p>
          <w:p w:rsidR="00D4064B" w:rsidRPr="007E29FA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</w:p>
          <w:p w:rsidR="00D4064B" w:rsidRPr="007E29FA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  <w:r w:rsidRPr="007E29FA">
              <w:rPr>
                <w:rFonts w:ascii="Times New Roman" w:hAnsi="Times New Roman"/>
                <w:b/>
              </w:rPr>
              <w:t>2.3.</w:t>
            </w:r>
            <w:r w:rsidRPr="007E29FA">
              <w:rPr>
                <w:rFonts w:ascii="Times New Roman" w:hAnsi="Times New Roman"/>
              </w:rPr>
              <w:t xml:space="preserve"> Na</w:t>
            </w:r>
            <w:r w:rsidR="00BC6621" w:rsidRPr="007E29FA">
              <w:rPr>
                <w:rFonts w:ascii="Times New Roman" w:hAnsi="Times New Roman"/>
              </w:rPr>
              <w:t xml:space="preserve"> </w:t>
            </w:r>
            <w:r w:rsidRPr="007E29FA">
              <w:rPr>
                <w:rFonts w:ascii="Times New Roman" w:hAnsi="Times New Roman"/>
              </w:rPr>
              <w:t xml:space="preserve">podstawie decyzji lekarza lokalnego lub </w:t>
            </w:r>
            <w:r w:rsidRPr="007E29FA">
              <w:rPr>
                <w:rFonts w:ascii="Times New Roman" w:hAnsi="Times New Roman"/>
              </w:rPr>
              <w:lastRenderedPageBreak/>
              <w:t>regionalnego centrum lec</w:t>
            </w:r>
            <w:r w:rsidR="00495515" w:rsidRPr="007E29FA">
              <w:rPr>
                <w:rFonts w:ascii="Times New Roman" w:hAnsi="Times New Roman"/>
              </w:rPr>
              <w:t>zenia hemofilii możliwe jest, w</w:t>
            </w:r>
            <w:r w:rsidR="00BC6621" w:rsidRPr="007E29FA">
              <w:rPr>
                <w:rFonts w:ascii="Times New Roman" w:hAnsi="Times New Roman"/>
              </w:rPr>
              <w:t xml:space="preserve"> </w:t>
            </w:r>
            <w:r w:rsidRPr="007E29FA">
              <w:rPr>
                <w:rFonts w:ascii="Times New Roman" w:hAnsi="Times New Roman"/>
              </w:rPr>
              <w:t>ramach monitorowania leczenia, wykonanie następujących badań: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VIII w zależności od sytuacji klinicznej powyższe badanie należy wykonać w razie braku skuteczności czynnika w dotychczasowej dawce oraz w innych uzasadnionych sytuacjach (np. przed zabiegami i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procedurami inwazyjnymi lub po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 produktu leczniczego koncentratu czynnika krzepnięcia na inny).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2.4.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Oznaczanie inhibitora: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 przetoczeń - co 3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 lub po każdych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przetoczeniach;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 150 przetoczeń - co 6 do 12 miesięcy;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 produktu leczniczego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 czynnika krzepnięcia na inny;</w:t>
            </w:r>
          </w:p>
          <w:p w:rsidR="00D4064B" w:rsidRPr="007E29FA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stwierdzenia braku skuteczności czynnika w dotychczasowej dawce.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powinny być wykonywane 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 z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powyższym opisem. </w:t>
            </w:r>
          </w:p>
          <w:p w:rsidR="00D4064B" w:rsidRPr="007E29FA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:rsidR="007642EF" w:rsidRPr="007E29FA" w:rsidRDefault="007642EF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642EF" w:rsidRPr="007E29FA" w:rsidRDefault="005829B9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 Monitorowanie programu</w:t>
            </w:r>
          </w:p>
          <w:p w:rsidR="007642EF" w:rsidRPr="007E29FA" w:rsidRDefault="0088137E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Gromadzenie w dokumentacji </w:t>
            </w:r>
            <w:r w:rsidR="007F37E3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medycznej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 d</w:t>
            </w:r>
            <w:r w:rsidR="007642EF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42EF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42EF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monitorowania leczenia i każdorazow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 ich przedstawianie </w:t>
            </w:r>
            <w:r w:rsidR="007642EF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żądanie kontroler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BC6621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Narodowego Funduszu Zdrowia</w:t>
            </w:r>
            <w:r w:rsidR="007F37E3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7642EF" w:rsidRPr="007E29FA" w:rsidRDefault="007642EF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Uzupełnienie </w:t>
            </w:r>
            <w:r w:rsidR="0088137E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przez lekarza prowadzącego lub Zespół Koordynujący 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 zawartych w rejestrze (SMPT) dostępnym za pomocą aplikacji internetowej udostępnionej prze</w:t>
            </w:r>
            <w:r w:rsidR="00495515"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OW NFZ, nie rzadziej niż co 3 </w:t>
            </w: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 oraz na zakończenie leczenia.</w:t>
            </w:r>
          </w:p>
          <w:p w:rsidR="00D4064B" w:rsidRPr="007E29FA" w:rsidRDefault="007642EF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D93918" w:rsidRPr="006A3127" w:rsidRDefault="00D93918" w:rsidP="00A33071">
      <w:pPr>
        <w:rPr>
          <w:rFonts w:ascii="Times New Roman" w:hAnsi="Times New Roman"/>
          <w:sz w:val="2"/>
        </w:rPr>
      </w:pPr>
    </w:p>
    <w:sectPr w:rsidR="00D93918" w:rsidRPr="006A3127" w:rsidSect="00BC78C5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C613D"/>
    <w:multiLevelType w:val="hybridMultilevel"/>
    <w:tmpl w:val="A5BA5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C56"/>
    <w:multiLevelType w:val="hybridMultilevel"/>
    <w:tmpl w:val="7B7CE1D6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17C9F"/>
    <w:multiLevelType w:val="hybridMultilevel"/>
    <w:tmpl w:val="D21C32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52C"/>
    <w:multiLevelType w:val="hybridMultilevel"/>
    <w:tmpl w:val="1056F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B20AA"/>
    <w:multiLevelType w:val="hybridMultilevel"/>
    <w:tmpl w:val="43348F6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24E4902"/>
    <w:multiLevelType w:val="hybridMultilevel"/>
    <w:tmpl w:val="26668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A1686"/>
    <w:multiLevelType w:val="hybridMultilevel"/>
    <w:tmpl w:val="7F8CC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46685"/>
    <w:multiLevelType w:val="hybridMultilevel"/>
    <w:tmpl w:val="AD3C5A12"/>
    <w:lvl w:ilvl="0" w:tplc="DA8EFFB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716981"/>
    <w:multiLevelType w:val="hybridMultilevel"/>
    <w:tmpl w:val="80D85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C34C35"/>
    <w:multiLevelType w:val="hybridMultilevel"/>
    <w:tmpl w:val="D7821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D5A8B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12DD7"/>
    <w:multiLevelType w:val="hybridMultilevel"/>
    <w:tmpl w:val="87B0C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17483"/>
    <w:multiLevelType w:val="hybridMultilevel"/>
    <w:tmpl w:val="8D347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76729"/>
    <w:multiLevelType w:val="hybridMultilevel"/>
    <w:tmpl w:val="E7CE7A1E"/>
    <w:lvl w:ilvl="0" w:tplc="59F09EA0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4" w15:restartNumberingAfterBreak="0">
    <w:nsid w:val="29667827"/>
    <w:multiLevelType w:val="hybridMultilevel"/>
    <w:tmpl w:val="FAAE73CC"/>
    <w:lvl w:ilvl="0" w:tplc="C75E088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C9162D"/>
    <w:multiLevelType w:val="hybridMultilevel"/>
    <w:tmpl w:val="07D2676E"/>
    <w:lvl w:ilvl="0" w:tplc="76F04504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6" w15:restartNumberingAfterBreak="0">
    <w:nsid w:val="36BB5D44"/>
    <w:multiLevelType w:val="hybridMultilevel"/>
    <w:tmpl w:val="94F4C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92B"/>
    <w:multiLevelType w:val="hybridMultilevel"/>
    <w:tmpl w:val="7A302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141BF"/>
    <w:multiLevelType w:val="hybridMultilevel"/>
    <w:tmpl w:val="BFA6F5F6"/>
    <w:lvl w:ilvl="0" w:tplc="99085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B22E10"/>
    <w:multiLevelType w:val="hybridMultilevel"/>
    <w:tmpl w:val="47C6DFBE"/>
    <w:lvl w:ilvl="0" w:tplc="062652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C67CB"/>
    <w:multiLevelType w:val="hybridMultilevel"/>
    <w:tmpl w:val="4B4875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D5A8B3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32107B"/>
    <w:multiLevelType w:val="hybridMultilevel"/>
    <w:tmpl w:val="CD549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F5AFE"/>
    <w:multiLevelType w:val="hybridMultilevel"/>
    <w:tmpl w:val="38A441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4D3CCF"/>
    <w:multiLevelType w:val="hybridMultilevel"/>
    <w:tmpl w:val="37F2B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F30D94"/>
    <w:multiLevelType w:val="hybridMultilevel"/>
    <w:tmpl w:val="F7506706"/>
    <w:lvl w:ilvl="0" w:tplc="EEA6E3E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F71BC"/>
    <w:multiLevelType w:val="hybridMultilevel"/>
    <w:tmpl w:val="F38270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B63149"/>
    <w:multiLevelType w:val="hybridMultilevel"/>
    <w:tmpl w:val="F0185164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15"/>
  </w:num>
  <w:num w:numId="5">
    <w:abstractNumId w:val="7"/>
  </w:num>
  <w:num w:numId="6">
    <w:abstractNumId w:val="13"/>
  </w:num>
  <w:num w:numId="7">
    <w:abstractNumId w:val="10"/>
  </w:num>
  <w:num w:numId="8">
    <w:abstractNumId w:val="2"/>
  </w:num>
  <w:num w:numId="9">
    <w:abstractNumId w:val="3"/>
  </w:num>
  <w:num w:numId="10">
    <w:abstractNumId w:val="17"/>
  </w:num>
  <w:num w:numId="11">
    <w:abstractNumId w:val="16"/>
  </w:num>
  <w:num w:numId="12">
    <w:abstractNumId w:val="12"/>
  </w:num>
  <w:num w:numId="13">
    <w:abstractNumId w:val="21"/>
  </w:num>
  <w:num w:numId="14">
    <w:abstractNumId w:val="26"/>
  </w:num>
  <w:num w:numId="15">
    <w:abstractNumId w:val="1"/>
  </w:num>
  <w:num w:numId="16">
    <w:abstractNumId w:val="20"/>
  </w:num>
  <w:num w:numId="17">
    <w:abstractNumId w:val="9"/>
  </w:num>
  <w:num w:numId="18">
    <w:abstractNumId w:val="25"/>
  </w:num>
  <w:num w:numId="19">
    <w:abstractNumId w:val="23"/>
  </w:num>
  <w:num w:numId="20">
    <w:abstractNumId w:val="6"/>
  </w:num>
  <w:num w:numId="21">
    <w:abstractNumId w:val="11"/>
  </w:num>
  <w:num w:numId="22">
    <w:abstractNumId w:val="0"/>
  </w:num>
  <w:num w:numId="23">
    <w:abstractNumId w:val="24"/>
  </w:num>
  <w:num w:numId="24">
    <w:abstractNumId w:val="8"/>
  </w:num>
  <w:num w:numId="25">
    <w:abstractNumId w:val="19"/>
  </w:num>
  <w:num w:numId="26">
    <w:abstractNumId w:val="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20897"/>
    <w:rsid w:val="000325E8"/>
    <w:rsid w:val="000506E9"/>
    <w:rsid w:val="000515AB"/>
    <w:rsid w:val="00067F17"/>
    <w:rsid w:val="000E4408"/>
    <w:rsid w:val="001030E6"/>
    <w:rsid w:val="001064DC"/>
    <w:rsid w:val="001641F3"/>
    <w:rsid w:val="001672BE"/>
    <w:rsid w:val="00177878"/>
    <w:rsid w:val="001A3CC7"/>
    <w:rsid w:val="001E6222"/>
    <w:rsid w:val="00203232"/>
    <w:rsid w:val="00265950"/>
    <w:rsid w:val="00282C34"/>
    <w:rsid w:val="002B0635"/>
    <w:rsid w:val="002D17D5"/>
    <w:rsid w:val="002E5708"/>
    <w:rsid w:val="00325E8C"/>
    <w:rsid w:val="00341DE8"/>
    <w:rsid w:val="00356064"/>
    <w:rsid w:val="003C28E2"/>
    <w:rsid w:val="00476BF4"/>
    <w:rsid w:val="00476E64"/>
    <w:rsid w:val="00495515"/>
    <w:rsid w:val="004B34CA"/>
    <w:rsid w:val="004F40B7"/>
    <w:rsid w:val="00510FC0"/>
    <w:rsid w:val="00516710"/>
    <w:rsid w:val="0054268E"/>
    <w:rsid w:val="005829B9"/>
    <w:rsid w:val="005C52CC"/>
    <w:rsid w:val="005F3D7A"/>
    <w:rsid w:val="00654178"/>
    <w:rsid w:val="00655197"/>
    <w:rsid w:val="006A3127"/>
    <w:rsid w:val="006D0047"/>
    <w:rsid w:val="00724CCC"/>
    <w:rsid w:val="00732A7A"/>
    <w:rsid w:val="007352C5"/>
    <w:rsid w:val="007642EF"/>
    <w:rsid w:val="007D0062"/>
    <w:rsid w:val="007E29FA"/>
    <w:rsid w:val="007F37E3"/>
    <w:rsid w:val="00852C28"/>
    <w:rsid w:val="008614AC"/>
    <w:rsid w:val="00862976"/>
    <w:rsid w:val="0088137E"/>
    <w:rsid w:val="008C5854"/>
    <w:rsid w:val="008F794F"/>
    <w:rsid w:val="009301F5"/>
    <w:rsid w:val="00971789"/>
    <w:rsid w:val="009B0576"/>
    <w:rsid w:val="00A126C0"/>
    <w:rsid w:val="00A33071"/>
    <w:rsid w:val="00A51A97"/>
    <w:rsid w:val="00A54754"/>
    <w:rsid w:val="00A8358C"/>
    <w:rsid w:val="00A95CCA"/>
    <w:rsid w:val="00A97D44"/>
    <w:rsid w:val="00AA1AB7"/>
    <w:rsid w:val="00AB348F"/>
    <w:rsid w:val="00AC5907"/>
    <w:rsid w:val="00AD29F8"/>
    <w:rsid w:val="00AE2A7F"/>
    <w:rsid w:val="00AE49EC"/>
    <w:rsid w:val="00AF1347"/>
    <w:rsid w:val="00AF1603"/>
    <w:rsid w:val="00B142E0"/>
    <w:rsid w:val="00B20F7D"/>
    <w:rsid w:val="00B26F73"/>
    <w:rsid w:val="00B37008"/>
    <w:rsid w:val="00B9504C"/>
    <w:rsid w:val="00BC6621"/>
    <w:rsid w:val="00BC78C5"/>
    <w:rsid w:val="00C12B21"/>
    <w:rsid w:val="00C21E9B"/>
    <w:rsid w:val="00C5532C"/>
    <w:rsid w:val="00C74310"/>
    <w:rsid w:val="00C842B3"/>
    <w:rsid w:val="00CD072C"/>
    <w:rsid w:val="00CD3F5E"/>
    <w:rsid w:val="00CF44C3"/>
    <w:rsid w:val="00D01709"/>
    <w:rsid w:val="00D136DE"/>
    <w:rsid w:val="00D26683"/>
    <w:rsid w:val="00D32ECE"/>
    <w:rsid w:val="00D4064B"/>
    <w:rsid w:val="00D46F49"/>
    <w:rsid w:val="00D93918"/>
    <w:rsid w:val="00DA374A"/>
    <w:rsid w:val="00DB45EC"/>
    <w:rsid w:val="00DD2891"/>
    <w:rsid w:val="00DE749F"/>
    <w:rsid w:val="00E132EE"/>
    <w:rsid w:val="00E138F8"/>
    <w:rsid w:val="00E4646B"/>
    <w:rsid w:val="00E963F8"/>
    <w:rsid w:val="00EC3A50"/>
    <w:rsid w:val="00EF0679"/>
    <w:rsid w:val="00F14D87"/>
    <w:rsid w:val="00F23247"/>
    <w:rsid w:val="00F44A2C"/>
    <w:rsid w:val="00F47311"/>
    <w:rsid w:val="00F66A95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58C479-9BD1-430F-8AF0-53DC0687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138F8"/>
    <w:pPr>
      <w:spacing w:after="0" w:line="24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FC4C-1E75-4555-9D0A-E6BDB2C7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1384</Words>
  <Characters>8927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Amanowicz Marcin</cp:lastModifiedBy>
  <cp:revision>3</cp:revision>
  <cp:lastPrinted>2015-09-06T19:58:00Z</cp:lastPrinted>
  <dcterms:created xsi:type="dcterms:W3CDTF">2017-12-05T10:14:00Z</dcterms:created>
  <dcterms:modified xsi:type="dcterms:W3CDTF">2017-12-15T11:25:00Z</dcterms:modified>
</cp:coreProperties>
</file>